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DA96" w14:textId="36FE1246" w:rsidR="00136EFA" w:rsidRDefault="001474FF" w:rsidP="001474F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color w:val="000000"/>
          <w:spacing w:val="15"/>
        </w:rPr>
      </w:pPr>
      <w:r>
        <w:rPr>
          <w:rStyle w:val="Strong"/>
          <w:rFonts w:ascii="Oxygen" w:hAnsi="Oxygen"/>
          <w:color w:val="000000"/>
          <w:spacing w:val="15"/>
        </w:rPr>
        <w:t xml:space="preserve">            </w:t>
      </w:r>
      <w:r>
        <w:rPr>
          <w:rFonts w:ascii="Oxygen" w:hAnsi="Oxygen"/>
          <w:b/>
          <w:bCs/>
          <w:noProof/>
          <w:color w:val="000000"/>
          <w:spacing w:val="15"/>
        </w:rPr>
        <w:drawing>
          <wp:inline distT="0" distB="0" distL="0" distR="0" wp14:anchorId="5BDC4C27" wp14:editId="09CC1A33">
            <wp:extent cx="2265026" cy="1234440"/>
            <wp:effectExtent l="0" t="0" r="0" b="0"/>
            <wp:docPr id="1" name="Picture 1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2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xygen" w:hAnsi="Oxygen"/>
          <w:b/>
          <w:bCs/>
          <w:color w:val="000000"/>
          <w:spacing w:val="15"/>
        </w:rPr>
        <w:t xml:space="preserve">       </w:t>
      </w:r>
      <w:r w:rsidRPr="001474FF">
        <w:rPr>
          <w:rFonts w:ascii="Oxygen" w:hAnsi="Oxygen"/>
          <w:b/>
          <w:bCs/>
          <w:noProof/>
          <w:color w:val="000000"/>
          <w:spacing w:val="15"/>
        </w:rPr>
        <w:drawing>
          <wp:inline distT="0" distB="0" distL="0" distR="0" wp14:anchorId="44E2EB7C" wp14:editId="7BAC9893">
            <wp:extent cx="1114425" cy="1111060"/>
            <wp:effectExtent l="0" t="0" r="0" b="0"/>
            <wp:docPr id="4" name="Content Placeholder 3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EDCBB9C-DE9F-4433-B991-4909FDDC324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6EDCBB9C-DE9F-4433-B991-4909FDDC324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t="36" r="2" b="2"/>
                    <a:stretch/>
                  </pic:blipFill>
                  <pic:spPr>
                    <a:xfrm>
                      <a:off x="0" y="0"/>
                      <a:ext cx="1126646" cy="112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166B0" w14:textId="3E6137B8" w:rsidR="006A3BC4" w:rsidRPr="001A4725" w:rsidRDefault="00F61723" w:rsidP="00145669">
      <w:pPr>
        <w:pStyle w:val="NormalWeb"/>
        <w:shd w:val="clear" w:color="auto" w:fill="FFFFFF"/>
        <w:spacing w:before="0" w:beforeAutospacing="0" w:after="300" w:afterAutospacing="0"/>
        <w:jc w:val="center"/>
        <w:rPr>
          <w:rStyle w:val="Strong"/>
          <w:rFonts w:ascii="Oxygen" w:hAnsi="Oxygen"/>
          <w:color w:val="000000"/>
          <w:spacing w:val="15"/>
        </w:rPr>
      </w:pPr>
      <w:r w:rsidRPr="001A4725">
        <w:rPr>
          <w:rStyle w:val="Strong"/>
          <w:rFonts w:ascii="Oxygen" w:hAnsi="Oxygen"/>
          <w:color w:val="000000"/>
          <w:spacing w:val="15"/>
        </w:rPr>
        <w:t xml:space="preserve">The </w:t>
      </w:r>
      <w:r w:rsidR="006A3BC4" w:rsidRPr="001A4725">
        <w:rPr>
          <w:rStyle w:val="Strong"/>
          <w:rFonts w:ascii="Oxygen" w:hAnsi="Oxygen"/>
          <w:color w:val="000000"/>
          <w:spacing w:val="15"/>
        </w:rPr>
        <w:t>Center for Lactation Equity</w:t>
      </w:r>
      <w:r w:rsidR="00145669" w:rsidRPr="001A4725">
        <w:rPr>
          <w:rStyle w:val="Strong"/>
          <w:rFonts w:ascii="Oxygen" w:hAnsi="Oxygen"/>
          <w:color w:val="000000"/>
          <w:spacing w:val="15"/>
        </w:rPr>
        <w:t xml:space="preserve"> </w:t>
      </w:r>
      <w:r w:rsidRPr="001A4725">
        <w:rPr>
          <w:rStyle w:val="Strong"/>
          <w:rFonts w:ascii="Oxygen" w:hAnsi="Oxygen"/>
          <w:color w:val="000000"/>
          <w:spacing w:val="15"/>
        </w:rPr>
        <w:t>Announces Two Scholarships for 2022!</w:t>
      </w:r>
    </w:p>
    <w:p w14:paraId="5A02DE76" w14:textId="18F06226" w:rsidR="00F61723" w:rsidRPr="001A4725" w:rsidRDefault="00F50E64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NLCA’s Center for Lactation </w:t>
      </w:r>
      <w:r w:rsidR="00F61723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Equity (CLE) is proud to announce its 2022 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Scholarship to increase access to the IBCLC® credential for </w:t>
      </w:r>
      <w:r w:rsidR="00405DA7">
        <w:rPr>
          <w:rStyle w:val="Strong"/>
          <w:rFonts w:ascii="Oxygen" w:hAnsi="Oxygen"/>
          <w:b w:val="0"/>
          <w:bCs w:val="0"/>
          <w:color w:val="000000"/>
          <w:spacing w:val="15"/>
        </w:rPr>
        <w:t>persons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of</w:t>
      </w:r>
      <w:r w:rsidR="00F61723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color</w:t>
      </w:r>
      <w:r w:rsidR="00B6471B">
        <w:rPr>
          <w:rStyle w:val="Strong"/>
          <w:rFonts w:ascii="Oxygen" w:hAnsi="Oxygen"/>
          <w:b w:val="0"/>
          <w:bCs w:val="0"/>
          <w:color w:val="000000"/>
          <w:spacing w:val="15"/>
        </w:rPr>
        <w:t>*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with demonstrated financial need. </w:t>
      </w:r>
      <w:r w:rsidR="00F61723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The two scholarships </w:t>
      </w:r>
      <w:r w:rsidR="000F2202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are a </w:t>
      </w:r>
      <w:r w:rsidR="00F61723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combined total $1124 and are broken down as follows:</w:t>
      </w:r>
    </w:p>
    <w:p w14:paraId="4A1784F8" w14:textId="1F22809C" w:rsidR="00F61723" w:rsidRPr="001A4725" w:rsidRDefault="00F61723" w:rsidP="000F2202">
      <w:pPr>
        <w:pStyle w:val="NormalWeb"/>
        <w:numPr>
          <w:ilvl w:val="0"/>
          <w:numId w:val="1"/>
        </w:numPr>
        <w:shd w:val="clear" w:color="auto" w:fill="FFFFFF"/>
        <w:spacing w:before="0"/>
        <w:rPr>
          <w:rStyle w:val="Strong"/>
          <w:rFonts w:ascii="Oxygen" w:hAnsi="Oxygen"/>
          <w:color w:val="000000"/>
          <w:spacing w:val="15"/>
        </w:rPr>
      </w:pP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One (1) Lactation Education Resources</w:t>
      </w:r>
      <w:r w:rsidR="007075DB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</w:t>
      </w:r>
      <w:r w:rsidR="000F2202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“</w:t>
      </w:r>
      <w:r w:rsidR="000F2202" w:rsidRPr="00E80481">
        <w:rPr>
          <w:rFonts w:ascii="Oxygen" w:hAnsi="Oxygen"/>
          <w:color w:val="000000"/>
          <w:spacing w:val="15"/>
        </w:rPr>
        <w:t xml:space="preserve">Lactation Consultant Training Program Enriched (LCTP)” </w:t>
      </w:r>
      <w:r w:rsidR="007075DB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95+ hour course valued at $1025 (see </w:t>
      </w:r>
      <w:hyperlink r:id="rId10" w:history="1">
        <w:r w:rsidR="007075DB" w:rsidRPr="001A4725">
          <w:rPr>
            <w:rStyle w:val="Hyperlink"/>
            <w:rFonts w:ascii="Oxygen" w:hAnsi="Oxygen"/>
            <w:spacing w:val="15"/>
          </w:rPr>
          <w:t>https://www.lactationtraining.com</w:t>
        </w:r>
      </w:hyperlink>
      <w:proofErr w:type="gramStart"/>
      <w:r w:rsidR="007075DB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);</w:t>
      </w:r>
      <w:proofErr w:type="gramEnd"/>
    </w:p>
    <w:p w14:paraId="1E2B570C" w14:textId="19203070" w:rsidR="007075DB" w:rsidRPr="001A4725" w:rsidRDefault="007075DB" w:rsidP="00F617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One (1) Lactation Education Resources “IBLCE Exam Review” general education course valued at $99</w:t>
      </w:r>
      <w:r w:rsidR="000F2202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(see </w:t>
      </w:r>
      <w:hyperlink r:id="rId11" w:history="1">
        <w:r w:rsidR="000F2202" w:rsidRPr="001A4725">
          <w:rPr>
            <w:rStyle w:val="Hyperlink"/>
            <w:rFonts w:ascii="Oxygen" w:hAnsi="Oxygen"/>
            <w:spacing w:val="15"/>
          </w:rPr>
          <w:t>https://www.lactationtraining.com</w:t>
        </w:r>
      </w:hyperlink>
      <w:r w:rsidR="000F2202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).</w:t>
      </w:r>
    </w:p>
    <w:p w14:paraId="4C57C06F" w14:textId="608488A9" w:rsidR="00370A95" w:rsidRPr="001A4725" w:rsidRDefault="00370A95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Applicants may apply for one or both scholarships; </w:t>
      </w:r>
      <w:r w:rsidR="00A21552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however, 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applicants </w:t>
      </w:r>
      <w:r w:rsidR="00E80481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will 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only be awarded one scholarship. </w:t>
      </w:r>
    </w:p>
    <w:p w14:paraId="055B68B4" w14:textId="7C83F97B" w:rsidR="006A3BC4" w:rsidRPr="001A4725" w:rsidRDefault="007075DB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Each</w:t>
      </w:r>
      <w:r w:rsidR="00F50E64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scholarship </w:t>
      </w:r>
      <w:r w:rsidR="00742AAD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fund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s</w:t>
      </w:r>
      <w:r w:rsidR="00742AAD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participation in 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the </w:t>
      </w:r>
      <w:r w:rsidR="000F2202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specified </w:t>
      </w:r>
      <w:r w:rsidR="00742AAD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education program</w:t>
      </w:r>
      <w:r w:rsidR="009A5DEC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offered by </w:t>
      </w:r>
      <w:r w:rsidR="00145669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L</w:t>
      </w:r>
      <w:r w:rsidR="009A5DEC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actation Education Resource</w:t>
      </w:r>
      <w:r w:rsidR="00145669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s</w:t>
      </w:r>
      <w:r w:rsidR="00E80481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. Applicants will </w:t>
      </w:r>
      <w:r w:rsidR="00742AAD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receive educational hours </w:t>
      </w:r>
      <w:r w:rsidR="00A21552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with the goal of </w:t>
      </w:r>
      <w:r w:rsidR="00742AAD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qualify</w:t>
      </w:r>
      <w:r w:rsidR="00A21552">
        <w:rPr>
          <w:rStyle w:val="Strong"/>
          <w:rFonts w:ascii="Oxygen" w:hAnsi="Oxygen"/>
          <w:b w:val="0"/>
          <w:bCs w:val="0"/>
          <w:color w:val="000000"/>
          <w:spacing w:val="15"/>
        </w:rPr>
        <w:t>ing</w:t>
      </w:r>
      <w:r w:rsidR="00742AAD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for the IB</w:t>
      </w:r>
      <w:r w:rsidR="00B6471B">
        <w:rPr>
          <w:rStyle w:val="Strong"/>
          <w:rFonts w:ascii="Oxygen" w:hAnsi="Oxygen"/>
          <w:b w:val="0"/>
          <w:bCs w:val="0"/>
          <w:color w:val="000000"/>
          <w:spacing w:val="15"/>
        </w:rPr>
        <w:t>CLC®</w:t>
      </w:r>
      <w:r w:rsidR="00742AAD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certification exam</w:t>
      </w:r>
      <w:r w:rsidR="00B6471B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offered by the IBLCE</w:t>
      </w:r>
      <w:r w:rsidR="00742AAD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.</w:t>
      </w:r>
      <w:r w:rsidR="00137975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The education</w:t>
      </w:r>
      <w:r w:rsidR="00A21552">
        <w:rPr>
          <w:rStyle w:val="Strong"/>
          <w:rFonts w:ascii="Oxygen" w:hAnsi="Oxygen"/>
          <w:b w:val="0"/>
          <w:bCs w:val="0"/>
          <w:color w:val="000000"/>
          <w:spacing w:val="15"/>
        </w:rPr>
        <w:t>al</w:t>
      </w:r>
      <w:r w:rsidR="00137975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scholarships are intended to increase access to the </w:t>
      </w:r>
      <w:r w:rsidR="00B6471B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IBCLC® </w:t>
      </w:r>
      <w:r w:rsidR="00137975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profession and </w:t>
      </w:r>
      <w:r w:rsidR="000F2202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to </w:t>
      </w:r>
      <w:r w:rsidR="00137975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assist candidate</w:t>
      </w:r>
      <w:r w:rsidR="002B6097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s</w:t>
      </w:r>
      <w:r w:rsidR="00137975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to reach their professional goals</w:t>
      </w:r>
    </w:p>
    <w:p w14:paraId="11443423" w14:textId="608948CD" w:rsidR="00742AAD" w:rsidRPr="001A4725" w:rsidRDefault="003E09AC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Scholarship </w:t>
      </w:r>
      <w:r w:rsidR="009C1A78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recipients will be expected to permit </w:t>
      </w:r>
      <w:r w:rsidR="002F3C46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NLCA</w:t>
      </w:r>
      <w:r w:rsidR="00B6471B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and CLE</w:t>
      </w:r>
      <w:r w:rsidR="002F3C46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to recognize them </w:t>
      </w:r>
      <w:r w:rsid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publicly on our website and social media. </w:t>
      </w:r>
      <w:r w:rsidR="009C1A78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Should the recipient not complete the educational hours</w:t>
      </w:r>
      <w:r w:rsid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for which the applicant received funding</w:t>
      </w:r>
      <w:r w:rsidR="009C1A78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, NLCA will be fully and promptly reimbursed accordingly.</w:t>
      </w:r>
    </w:p>
    <w:p w14:paraId="3470E4F3" w14:textId="504C45D6" w:rsidR="00137975" w:rsidRPr="001A4725" w:rsidRDefault="00137975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Style w:val="Strong"/>
          <w:rFonts w:ascii="Oxygen" w:hAnsi="Oxygen"/>
          <w:color w:val="000000"/>
          <w:spacing w:val="15"/>
        </w:rPr>
        <w:t>TIMELINE</w:t>
      </w:r>
    </w:p>
    <w:p w14:paraId="7F038008" w14:textId="437F1B0D" w:rsidR="006F3168" w:rsidRPr="001A4725" w:rsidRDefault="002F3C46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Complete a</w:t>
      </w:r>
      <w:r w:rsidR="00D7229E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pplications 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(defined as containing all supporting documentation) </w:t>
      </w:r>
      <w:r w:rsidR="00D7229E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must be submitted by </w:t>
      </w:r>
      <w:r w:rsidRPr="001A4725">
        <w:rPr>
          <w:rStyle w:val="Strong"/>
          <w:rFonts w:ascii="Oxygen" w:hAnsi="Oxygen"/>
          <w:color w:val="000000"/>
          <w:spacing w:val="15"/>
        </w:rPr>
        <w:t>12:00am on</w:t>
      </w:r>
      <w:r w:rsidR="00D7229E" w:rsidRPr="001A4725">
        <w:rPr>
          <w:rStyle w:val="Strong"/>
          <w:rFonts w:ascii="Oxygen" w:hAnsi="Oxygen"/>
          <w:color w:val="000000"/>
          <w:spacing w:val="15"/>
        </w:rPr>
        <w:t xml:space="preserve"> </w:t>
      </w:r>
      <w:r w:rsidR="00910B95">
        <w:rPr>
          <w:rStyle w:val="Strong"/>
          <w:rFonts w:ascii="Oxygen" w:hAnsi="Oxygen"/>
          <w:color w:val="000000"/>
          <w:spacing w:val="15"/>
        </w:rPr>
        <w:t>November 15 (note extended deadline)</w:t>
      </w:r>
      <w:r w:rsidRPr="001A4725">
        <w:rPr>
          <w:rStyle w:val="Strong"/>
          <w:rFonts w:ascii="Oxygen" w:hAnsi="Oxygen"/>
          <w:color w:val="000000"/>
          <w:spacing w:val="15"/>
        </w:rPr>
        <w:t>, 2022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. </w:t>
      </w:r>
      <w:r w:rsidR="007708A5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Scholarship</w:t>
      </w:r>
      <w:r w:rsidR="00D7229E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awards will be announced </w:t>
      </w:r>
      <w:r w:rsidR="00910B95">
        <w:rPr>
          <w:rStyle w:val="Strong"/>
          <w:rFonts w:ascii="Oxygen" w:hAnsi="Oxygen"/>
          <w:b w:val="0"/>
          <w:bCs w:val="0"/>
          <w:color w:val="000000"/>
          <w:spacing w:val="15"/>
        </w:rPr>
        <w:t>December</w:t>
      </w:r>
      <w:r w:rsidR="00D7229E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15</w:t>
      </w:r>
      <w:r w:rsidR="007708A5" w:rsidRPr="001A4725">
        <w:rPr>
          <w:rStyle w:val="Strong"/>
          <w:rFonts w:ascii="Oxygen" w:hAnsi="Oxygen"/>
          <w:b w:val="0"/>
          <w:bCs w:val="0"/>
          <w:color w:val="000000"/>
          <w:spacing w:val="15"/>
          <w:vertAlign w:val="superscript"/>
        </w:rPr>
        <w:t>th</w:t>
      </w:r>
      <w:r w:rsidR="00D7229E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</w:t>
      </w:r>
      <w:r w:rsidR="00910B9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(note new date) </w:t>
      </w:r>
      <w:r w:rsidR="00145669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via </w:t>
      </w:r>
      <w:r w:rsidR="009A5DEC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direct contact and publicly on </w:t>
      </w:r>
      <w:hyperlink r:id="rId12" w:history="1">
        <w:r w:rsidR="009A5DEC" w:rsidRPr="001A4725">
          <w:rPr>
            <w:rStyle w:val="Hyperlink"/>
            <w:rFonts w:ascii="Oxygen" w:hAnsi="Oxygen"/>
            <w:spacing w:val="15"/>
          </w:rPr>
          <w:t>www.NLCA.us</w:t>
        </w:r>
      </w:hyperlink>
      <w:r w:rsidR="00D7229E"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.</w:t>
      </w:r>
    </w:p>
    <w:p w14:paraId="221FD8AA" w14:textId="77777777" w:rsidR="00370A95" w:rsidRPr="001A4725" w:rsidRDefault="00370A95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color w:val="000000"/>
          <w:spacing w:val="15"/>
        </w:rPr>
      </w:pPr>
      <w:r w:rsidRPr="001A4725">
        <w:rPr>
          <w:rStyle w:val="Strong"/>
          <w:rFonts w:ascii="Oxygen" w:hAnsi="Oxygen"/>
          <w:color w:val="000000"/>
          <w:spacing w:val="15"/>
        </w:rPr>
        <w:lastRenderedPageBreak/>
        <w:t>APPLICATION AND SUPPORTING DOCUMENTS</w:t>
      </w:r>
    </w:p>
    <w:p w14:paraId="04EA3043" w14:textId="34C61CAB" w:rsidR="00370A95" w:rsidRPr="001A4725" w:rsidRDefault="00370A95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We invite you to apply by completing the application </w:t>
      </w:r>
      <w:hyperlink r:id="rId13" w:history="1">
        <w:r w:rsidRPr="00A21552">
          <w:rPr>
            <w:rStyle w:val="Hyperlink"/>
            <w:rFonts w:ascii="Oxygen" w:hAnsi="Oxygen"/>
            <w:spacing w:val="15"/>
          </w:rPr>
          <w:t>here</w:t>
        </w:r>
      </w:hyperlink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.</w:t>
      </w:r>
    </w:p>
    <w:p w14:paraId="4817FA9A" w14:textId="1294A912" w:rsidR="00370A95" w:rsidRPr="001A4725" w:rsidRDefault="00370A95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Please note that you must </w:t>
      </w:r>
      <w:r w:rsidR="000268AB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have the following 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supporting documents</w:t>
      </w:r>
      <w:r w:rsidR="000268AB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 ready to upload at the time you complete your application</w:t>
      </w:r>
      <w:r w:rsidRPr="001A4725">
        <w:rPr>
          <w:rStyle w:val="Strong"/>
          <w:rFonts w:ascii="Oxygen" w:hAnsi="Oxygen"/>
          <w:b w:val="0"/>
          <w:bCs w:val="0"/>
          <w:color w:val="000000"/>
          <w:spacing w:val="15"/>
        </w:rPr>
        <w:t>:</w:t>
      </w:r>
    </w:p>
    <w:p w14:paraId="58FB9DBC" w14:textId="19B773D6" w:rsidR="00A21552" w:rsidRPr="00A21552" w:rsidRDefault="000268AB" w:rsidP="00CA7FCD">
      <w:pPr>
        <w:pStyle w:val="ListParagraph"/>
        <w:numPr>
          <w:ilvl w:val="0"/>
          <w:numId w:val="3"/>
        </w:numPr>
        <w:rPr>
          <w:rFonts w:ascii="Oxygen" w:hAnsi="Oxygen"/>
        </w:rPr>
      </w:pPr>
      <w:r>
        <w:rPr>
          <w:rFonts w:ascii="Oxygen" w:hAnsi="Oxygen"/>
        </w:rPr>
        <w:t>A l</w:t>
      </w:r>
      <w:r w:rsidR="00F623D0" w:rsidRPr="00A21552">
        <w:rPr>
          <w:rFonts w:ascii="Oxygen" w:hAnsi="Oxygen"/>
        </w:rPr>
        <w:t>etter of recommendation (one</w:t>
      </w:r>
      <w:r w:rsidR="00B6471B">
        <w:rPr>
          <w:rFonts w:ascii="Oxygen" w:hAnsi="Oxygen"/>
        </w:rPr>
        <w:t>-</w:t>
      </w:r>
      <w:r w:rsidR="00F623D0" w:rsidRPr="00A21552">
        <w:rPr>
          <w:rFonts w:ascii="Oxygen" w:hAnsi="Oxygen"/>
        </w:rPr>
        <w:t>page double spaced maximum) from a supervisor, instructor</w:t>
      </w:r>
      <w:r w:rsidR="00D250BB">
        <w:rPr>
          <w:rFonts w:ascii="Oxygen" w:hAnsi="Oxygen"/>
        </w:rPr>
        <w:t xml:space="preserve"> or </w:t>
      </w:r>
      <w:r w:rsidR="00F623D0" w:rsidRPr="00A21552">
        <w:rPr>
          <w:rFonts w:ascii="Oxygen" w:hAnsi="Oxygen"/>
        </w:rPr>
        <w:t>IBCLC® colleague</w:t>
      </w:r>
    </w:p>
    <w:p w14:paraId="71226923" w14:textId="77777777" w:rsidR="00A21552" w:rsidRPr="00A21552" w:rsidRDefault="00A21552" w:rsidP="00A21552">
      <w:pPr>
        <w:pStyle w:val="ListParagraph"/>
        <w:rPr>
          <w:rFonts w:ascii="Oxygen" w:hAnsi="Oxygen"/>
        </w:rPr>
      </w:pPr>
    </w:p>
    <w:p w14:paraId="78608A92" w14:textId="77777777" w:rsidR="000268AB" w:rsidRDefault="00A21552" w:rsidP="00B161B4">
      <w:pPr>
        <w:pStyle w:val="NormalWeb"/>
        <w:numPr>
          <w:ilvl w:val="0"/>
          <w:numId w:val="3"/>
        </w:numPr>
        <w:rPr>
          <w:rFonts w:ascii="Oxygen" w:hAnsi="Oxygen"/>
          <w:color w:val="202124"/>
        </w:rPr>
      </w:pPr>
      <w:r w:rsidRPr="000268AB">
        <w:rPr>
          <w:rFonts w:ascii="Oxygen" w:hAnsi="Oxygen"/>
          <w:color w:val="202124"/>
        </w:rPr>
        <w:t>A</w:t>
      </w:r>
      <w:r w:rsidR="001A4725" w:rsidRPr="000268AB">
        <w:rPr>
          <w:rFonts w:ascii="Oxygen" w:hAnsi="Oxygen"/>
          <w:color w:val="202124"/>
        </w:rPr>
        <w:t xml:space="preserve"> short statement (300 words or less) outlining why you have chosen to be an IBCLC® and how this scholarship would impact you and the communities in which you currently serve (or hope to serve). </w:t>
      </w:r>
    </w:p>
    <w:p w14:paraId="45E9100C" w14:textId="33F286A8" w:rsidR="001A4725" w:rsidRPr="000268AB" w:rsidRDefault="001A4725" w:rsidP="000268AB">
      <w:pPr>
        <w:pStyle w:val="NormalWeb"/>
        <w:rPr>
          <w:rFonts w:ascii="Oxygen" w:hAnsi="Oxygen"/>
          <w:color w:val="202124"/>
        </w:rPr>
      </w:pPr>
      <w:r w:rsidRPr="000268AB">
        <w:rPr>
          <w:rFonts w:ascii="Oxygen" w:hAnsi="Oxygen"/>
          <w:color w:val="202124"/>
        </w:rPr>
        <w:t xml:space="preserve">Thank you for applying for </w:t>
      </w:r>
      <w:r w:rsidR="00D250BB">
        <w:rPr>
          <w:rFonts w:ascii="Oxygen" w:hAnsi="Oxygen"/>
          <w:color w:val="202124"/>
        </w:rPr>
        <w:t xml:space="preserve">NLCA’s </w:t>
      </w:r>
      <w:r w:rsidRPr="000268AB">
        <w:rPr>
          <w:rFonts w:ascii="Oxygen" w:hAnsi="Oxygen"/>
          <w:color w:val="202124"/>
        </w:rPr>
        <w:t xml:space="preserve">Center </w:t>
      </w:r>
      <w:r w:rsidR="00D250BB">
        <w:rPr>
          <w:rFonts w:ascii="Oxygen" w:hAnsi="Oxygen"/>
          <w:color w:val="202124"/>
        </w:rPr>
        <w:t xml:space="preserve">for Lactation Equity </w:t>
      </w:r>
      <w:r w:rsidRPr="000268AB">
        <w:rPr>
          <w:rFonts w:ascii="Oxygen" w:hAnsi="Oxygen"/>
          <w:color w:val="202124"/>
        </w:rPr>
        <w:t>2022 Scholarship</w:t>
      </w:r>
      <w:r w:rsidR="00A21552" w:rsidRPr="000268AB">
        <w:rPr>
          <w:rFonts w:ascii="Oxygen" w:hAnsi="Oxygen"/>
          <w:color w:val="202124"/>
        </w:rPr>
        <w:t xml:space="preserve"> and </w:t>
      </w:r>
      <w:r w:rsidR="00A21552" w:rsidRPr="000268AB">
        <w:rPr>
          <w:rStyle w:val="Strong"/>
          <w:rFonts w:ascii="Oxygen" w:hAnsi="Oxygen"/>
          <w:b w:val="0"/>
          <w:bCs w:val="0"/>
          <w:color w:val="000000"/>
          <w:spacing w:val="15"/>
        </w:rPr>
        <w:t xml:space="preserve">thank you to Lactation Education Resources for their generosity in providing </w:t>
      </w:r>
      <w:r w:rsidR="00D250BB">
        <w:rPr>
          <w:rStyle w:val="Strong"/>
          <w:rFonts w:ascii="Oxygen" w:hAnsi="Oxygen"/>
          <w:b w:val="0"/>
          <w:bCs w:val="0"/>
          <w:color w:val="000000"/>
          <w:spacing w:val="15"/>
        </w:rPr>
        <w:t>these s</w:t>
      </w:r>
      <w:r w:rsidR="00A21552" w:rsidRPr="000268AB">
        <w:rPr>
          <w:rStyle w:val="Strong"/>
          <w:rFonts w:ascii="Oxygen" w:hAnsi="Oxygen"/>
          <w:b w:val="0"/>
          <w:bCs w:val="0"/>
          <w:color w:val="000000"/>
          <w:spacing w:val="15"/>
        </w:rPr>
        <w:t>cholarships!</w:t>
      </w:r>
    </w:p>
    <w:p w14:paraId="3AD588AC" w14:textId="3001D94D" w:rsidR="00F61723" w:rsidRPr="001A4725" w:rsidRDefault="001A4725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  <w:color w:val="000000"/>
          <w:spacing w:val="15"/>
        </w:rPr>
      </w:pPr>
      <w:r w:rsidRPr="001A4725">
        <w:rPr>
          <w:rFonts w:ascii="Oxygen" w:hAnsi="Oxygen"/>
        </w:rPr>
        <w:t>Questions? Please email cle@nlca.us!</w:t>
      </w:r>
    </w:p>
    <w:p w14:paraId="575214E3" w14:textId="77777777" w:rsidR="00F61723" w:rsidRPr="001A4725" w:rsidRDefault="00F61723" w:rsidP="00F61723">
      <w:pPr>
        <w:rPr>
          <w:rFonts w:ascii="Oxygen" w:hAnsi="Oxygen"/>
          <w:b/>
          <w:bCs/>
        </w:rPr>
      </w:pPr>
      <w:r w:rsidRPr="001A4725">
        <w:rPr>
          <w:rFonts w:ascii="Oxygen" w:hAnsi="Oxygen"/>
          <w:b/>
          <w:bCs/>
          <w:color w:val="000000"/>
        </w:rPr>
        <w:t>Mission:</w:t>
      </w:r>
    </w:p>
    <w:p w14:paraId="02F824EE" w14:textId="75D15D26" w:rsidR="00F61723" w:rsidRPr="001A4725" w:rsidRDefault="00F61723" w:rsidP="00F61723">
      <w:pPr>
        <w:rPr>
          <w:rFonts w:ascii="Oxygen" w:hAnsi="Oxygen"/>
        </w:rPr>
      </w:pPr>
      <w:r w:rsidRPr="001A4725">
        <w:rPr>
          <w:rFonts w:ascii="Oxygen" w:hAnsi="Oxygen"/>
          <w:color w:val="000000"/>
        </w:rPr>
        <w:t xml:space="preserve">The mission of the NLCA Center for Lactation Equity is to advance health equity by increasing families’ access to </w:t>
      </w:r>
      <w:r w:rsidR="00D250BB">
        <w:rPr>
          <w:rFonts w:ascii="Oxygen" w:hAnsi="Oxygen"/>
          <w:color w:val="000000"/>
        </w:rPr>
        <w:t>c</w:t>
      </w:r>
      <w:r w:rsidRPr="001A4725">
        <w:rPr>
          <w:rFonts w:ascii="Oxygen" w:hAnsi="Oxygen"/>
          <w:color w:val="000000"/>
        </w:rPr>
        <w:t xml:space="preserve">linical </w:t>
      </w:r>
      <w:r w:rsidR="00D250BB">
        <w:rPr>
          <w:rFonts w:ascii="Oxygen" w:hAnsi="Oxygen"/>
          <w:color w:val="000000"/>
        </w:rPr>
        <w:t>l</w:t>
      </w:r>
      <w:r w:rsidRPr="001A4725">
        <w:rPr>
          <w:rFonts w:ascii="Oxygen" w:hAnsi="Oxygen"/>
          <w:color w:val="000000"/>
        </w:rPr>
        <w:t xml:space="preserve">actation </w:t>
      </w:r>
      <w:r w:rsidR="00D250BB">
        <w:rPr>
          <w:rFonts w:ascii="Oxygen" w:hAnsi="Oxygen"/>
          <w:color w:val="000000"/>
        </w:rPr>
        <w:t>c</w:t>
      </w:r>
      <w:r w:rsidRPr="001A4725">
        <w:rPr>
          <w:rFonts w:ascii="Oxygen" w:hAnsi="Oxygen"/>
          <w:color w:val="000000"/>
        </w:rPr>
        <w:t>onsultant</w:t>
      </w:r>
      <w:r w:rsidR="00D250BB">
        <w:rPr>
          <w:rFonts w:ascii="Oxygen" w:hAnsi="Oxygen"/>
          <w:color w:val="000000"/>
        </w:rPr>
        <w:t xml:space="preserve"> professionals</w:t>
      </w:r>
      <w:r w:rsidRPr="001A4725">
        <w:rPr>
          <w:rFonts w:ascii="Oxygen" w:hAnsi="Oxygen"/>
          <w:color w:val="000000"/>
        </w:rPr>
        <w:t xml:space="preserve"> (IBCLC®) in the United States and cultivating a culture of diversity and inclusion within the IBCLC® profession. </w:t>
      </w:r>
    </w:p>
    <w:p w14:paraId="04AD777C" w14:textId="77777777" w:rsidR="00F61723" w:rsidRPr="001A4725" w:rsidRDefault="00F61723" w:rsidP="00F61723">
      <w:pPr>
        <w:rPr>
          <w:rFonts w:ascii="Oxygen" w:hAnsi="Oxygen"/>
          <w:b/>
          <w:bCs/>
          <w:color w:val="000000"/>
        </w:rPr>
      </w:pPr>
    </w:p>
    <w:p w14:paraId="0DCD8C4C" w14:textId="77777777" w:rsidR="00F61723" w:rsidRPr="001A4725" w:rsidRDefault="00F61723" w:rsidP="00F61723">
      <w:pPr>
        <w:rPr>
          <w:rFonts w:ascii="Oxygen" w:hAnsi="Oxygen"/>
          <w:b/>
          <w:bCs/>
        </w:rPr>
      </w:pPr>
      <w:r w:rsidRPr="001A4725">
        <w:rPr>
          <w:rFonts w:ascii="Oxygen" w:hAnsi="Oxygen"/>
          <w:b/>
          <w:bCs/>
          <w:color w:val="000000"/>
        </w:rPr>
        <w:t>Vision:</w:t>
      </w:r>
    </w:p>
    <w:p w14:paraId="218BE537" w14:textId="77777777" w:rsidR="00F61723" w:rsidRPr="001A4725" w:rsidRDefault="00F61723" w:rsidP="00F61723">
      <w:pPr>
        <w:rPr>
          <w:rFonts w:ascii="Oxygen" w:hAnsi="Oxygen"/>
          <w:color w:val="000000" w:themeColor="text1"/>
        </w:rPr>
      </w:pPr>
      <w:r w:rsidRPr="001A4725">
        <w:rPr>
          <w:rFonts w:ascii="Oxygen" w:hAnsi="Oxygen"/>
          <w:color w:val="000000" w:themeColor="text1"/>
        </w:rPr>
        <w:t xml:space="preserve">Equity in the field of clinical lactation care by elimination of barriers to achieving the IBCLC® credential and availability for families to access culturally appropriate care from those in their communities. </w:t>
      </w:r>
    </w:p>
    <w:p w14:paraId="035E64EA" w14:textId="58F1F816" w:rsidR="00F61723" w:rsidRDefault="00F61723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b w:val="0"/>
          <w:bCs w:val="0"/>
        </w:rPr>
      </w:pPr>
    </w:p>
    <w:p w14:paraId="55C74B3E" w14:textId="5A299656" w:rsidR="00B6471B" w:rsidRPr="00B6471B" w:rsidRDefault="00B6471B" w:rsidP="006A3BC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xygen" w:hAnsi="Oxygen"/>
          <w:b w:val="0"/>
          <w:bCs w:val="0"/>
        </w:rPr>
      </w:pPr>
      <w:r>
        <w:rPr>
          <w:rStyle w:val="Strong"/>
          <w:b w:val="0"/>
          <w:bCs w:val="0"/>
        </w:rPr>
        <w:t>*</w:t>
      </w:r>
      <w:r>
        <w:rPr>
          <w:rStyle w:val="Strong"/>
          <w:rFonts w:ascii="Oxygen" w:hAnsi="Oxygen"/>
          <w:b w:val="0"/>
          <w:bCs w:val="0"/>
        </w:rPr>
        <w:t xml:space="preserve">CLE uses terms as recommended by the Bias-Free Language Guidelines set forth by the American Psychological Association. </w:t>
      </w:r>
      <w:hyperlink r:id="rId14" w:history="1">
        <w:r w:rsidRPr="00B6471B">
          <w:rPr>
            <w:rStyle w:val="Hyperlink"/>
            <w:rFonts w:ascii="Oxygen" w:hAnsi="Oxygen"/>
          </w:rPr>
          <w:t>https://apastyle.apa.org/style-grammar-guidelines/bias-free-language</w:t>
        </w:r>
      </w:hyperlink>
    </w:p>
    <w:sectPr w:rsidR="00B6471B" w:rsidRPr="00B647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97EE" w14:textId="77777777" w:rsidR="00B34EDD" w:rsidRDefault="00B34EDD" w:rsidP="008E2AD4">
      <w:r>
        <w:separator/>
      </w:r>
    </w:p>
  </w:endnote>
  <w:endnote w:type="continuationSeparator" w:id="0">
    <w:p w14:paraId="301D0D42" w14:textId="77777777" w:rsidR="00B34EDD" w:rsidRDefault="00B34EDD" w:rsidP="008E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D95E" w14:textId="77777777" w:rsidR="008E2AD4" w:rsidRDefault="008E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73A" w14:textId="77777777" w:rsidR="008E2AD4" w:rsidRDefault="008E2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14CE" w14:textId="77777777" w:rsidR="008E2AD4" w:rsidRDefault="008E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26B6" w14:textId="77777777" w:rsidR="00B34EDD" w:rsidRDefault="00B34EDD" w:rsidP="008E2AD4">
      <w:r>
        <w:separator/>
      </w:r>
    </w:p>
  </w:footnote>
  <w:footnote w:type="continuationSeparator" w:id="0">
    <w:p w14:paraId="49E35704" w14:textId="77777777" w:rsidR="00B34EDD" w:rsidRDefault="00B34EDD" w:rsidP="008E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3442" w14:textId="77777777" w:rsidR="008E2AD4" w:rsidRDefault="008E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D445" w14:textId="0AD70A32" w:rsidR="008E2AD4" w:rsidRDefault="008E2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2C36" w14:textId="77777777" w:rsidR="008E2AD4" w:rsidRDefault="008E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410C"/>
    <w:multiLevelType w:val="hybridMultilevel"/>
    <w:tmpl w:val="30FEF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DFF"/>
    <w:multiLevelType w:val="hybridMultilevel"/>
    <w:tmpl w:val="53241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268"/>
    <w:multiLevelType w:val="hybridMultilevel"/>
    <w:tmpl w:val="75E2E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7567">
    <w:abstractNumId w:val="1"/>
  </w:num>
  <w:num w:numId="2" w16cid:durableId="1265959096">
    <w:abstractNumId w:val="2"/>
  </w:num>
  <w:num w:numId="3" w16cid:durableId="106348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C4"/>
    <w:rsid w:val="000268AB"/>
    <w:rsid w:val="0008551F"/>
    <w:rsid w:val="000E3741"/>
    <w:rsid w:val="000F2202"/>
    <w:rsid w:val="00126440"/>
    <w:rsid w:val="00136EFA"/>
    <w:rsid w:val="00137975"/>
    <w:rsid w:val="00145669"/>
    <w:rsid w:val="001474FF"/>
    <w:rsid w:val="001660FB"/>
    <w:rsid w:val="001A4725"/>
    <w:rsid w:val="002B6097"/>
    <w:rsid w:val="002F3C46"/>
    <w:rsid w:val="00370A95"/>
    <w:rsid w:val="003E09AC"/>
    <w:rsid w:val="00405DA7"/>
    <w:rsid w:val="004D6998"/>
    <w:rsid w:val="00674459"/>
    <w:rsid w:val="006A3BC4"/>
    <w:rsid w:val="006F3168"/>
    <w:rsid w:val="007075DB"/>
    <w:rsid w:val="00742AAD"/>
    <w:rsid w:val="007708A5"/>
    <w:rsid w:val="007B3E11"/>
    <w:rsid w:val="00847675"/>
    <w:rsid w:val="008E2AD4"/>
    <w:rsid w:val="009000C1"/>
    <w:rsid w:val="00910B95"/>
    <w:rsid w:val="00957ABA"/>
    <w:rsid w:val="0099777E"/>
    <w:rsid w:val="009A5DEC"/>
    <w:rsid w:val="009A743D"/>
    <w:rsid w:val="009C1A78"/>
    <w:rsid w:val="009E0F8B"/>
    <w:rsid w:val="00A13530"/>
    <w:rsid w:val="00A21552"/>
    <w:rsid w:val="00B0540D"/>
    <w:rsid w:val="00B34EDD"/>
    <w:rsid w:val="00B5121B"/>
    <w:rsid w:val="00B6471B"/>
    <w:rsid w:val="00B76F95"/>
    <w:rsid w:val="00CA0D95"/>
    <w:rsid w:val="00D250BB"/>
    <w:rsid w:val="00D27985"/>
    <w:rsid w:val="00D7229E"/>
    <w:rsid w:val="00E40935"/>
    <w:rsid w:val="00E80481"/>
    <w:rsid w:val="00EE7627"/>
    <w:rsid w:val="00F50E64"/>
    <w:rsid w:val="00F61723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95D63"/>
  <w15:chartTrackingRefBased/>
  <w15:docId w15:val="{AA178D78-D524-4BFA-8847-BFF8CE3C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20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B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A3BC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2A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2AD4"/>
  </w:style>
  <w:style w:type="paragraph" w:styleId="Footer">
    <w:name w:val="footer"/>
    <w:basedOn w:val="Normal"/>
    <w:link w:val="FooterChar"/>
    <w:uiPriority w:val="99"/>
    <w:unhideWhenUsed/>
    <w:rsid w:val="008E2A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2AD4"/>
  </w:style>
  <w:style w:type="character" w:styleId="FollowedHyperlink">
    <w:name w:val="FollowedHyperlink"/>
    <w:basedOn w:val="DefaultParagraphFont"/>
    <w:uiPriority w:val="99"/>
    <w:semiHidden/>
    <w:unhideWhenUsed/>
    <w:rsid w:val="007075D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2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111">
          <w:marLeft w:val="0"/>
          <w:marRight w:val="5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orms.gle/AUwK7rmZYrWZxszQ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LCA.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ctationtrainin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actationtraining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astyle.apa.org/style-grammar-guidelines/bias-free-langua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CBD9-C9A6-4916-89FB-028068C4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Edwards</dc:creator>
  <cp:keywords/>
  <dc:description/>
  <cp:lastModifiedBy>Claire Eden</cp:lastModifiedBy>
  <cp:revision>2</cp:revision>
  <dcterms:created xsi:type="dcterms:W3CDTF">2022-10-25T01:01:00Z</dcterms:created>
  <dcterms:modified xsi:type="dcterms:W3CDTF">2022-10-25T01:01:00Z</dcterms:modified>
</cp:coreProperties>
</file>